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B9" w:rsidRPr="0062777D" w:rsidRDefault="00713FB9" w:rsidP="00713FB9">
      <w:pPr>
        <w:pStyle w:val="ListParagraph"/>
        <w:spacing w:after="0" w:line="240" w:lineRule="auto"/>
        <w:ind w:right="240"/>
        <w:jc w:val="right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  <w:lang w:val="ro-RO"/>
        </w:rPr>
        <w:t xml:space="preserve">                  </w:t>
      </w:r>
      <w:r w:rsidRPr="0062777D">
        <w:rPr>
          <w:rFonts w:asciiTheme="majorBidi" w:hAnsiTheme="majorBidi" w:cstheme="majorBidi"/>
          <w:bCs/>
        </w:rPr>
        <w:t xml:space="preserve">Приложение№ 3 </w:t>
      </w:r>
    </w:p>
    <w:p w:rsidR="00713FB9" w:rsidRPr="0062777D" w:rsidRDefault="00713FB9" w:rsidP="00713FB9">
      <w:pPr>
        <w:ind w:left="360"/>
        <w:jc w:val="right"/>
        <w:rPr>
          <w:rFonts w:asciiTheme="majorBidi" w:hAnsiTheme="majorBidi" w:cstheme="majorBidi"/>
          <w:bCs/>
          <w:sz w:val="22"/>
          <w:szCs w:val="22"/>
        </w:rPr>
      </w:pPr>
      <w:r w:rsidRPr="0062777D">
        <w:rPr>
          <w:rFonts w:asciiTheme="majorBidi" w:hAnsiTheme="majorBidi" w:cstheme="majorBidi"/>
          <w:bCs/>
          <w:sz w:val="22"/>
          <w:szCs w:val="22"/>
        </w:rPr>
        <w:t xml:space="preserve">к Положению о </w:t>
      </w:r>
      <w:proofErr w:type="gramStart"/>
      <w:r w:rsidRPr="0062777D">
        <w:rPr>
          <w:rFonts w:asciiTheme="majorBidi" w:hAnsiTheme="majorBidi" w:cstheme="majorBidi"/>
          <w:bCs/>
          <w:sz w:val="22"/>
          <w:szCs w:val="22"/>
        </w:rPr>
        <w:t>Национальном</w:t>
      </w:r>
      <w:proofErr w:type="gramEnd"/>
      <w:r w:rsidRPr="0062777D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:rsidR="00713FB9" w:rsidRPr="0062777D" w:rsidRDefault="00713FB9" w:rsidP="00713FB9">
      <w:pPr>
        <w:ind w:left="360"/>
        <w:jc w:val="right"/>
        <w:rPr>
          <w:rFonts w:asciiTheme="majorBidi" w:hAnsiTheme="majorBidi" w:cstheme="majorBidi"/>
          <w:bCs/>
          <w:sz w:val="22"/>
          <w:szCs w:val="22"/>
        </w:rPr>
      </w:pPr>
      <w:r w:rsidRPr="0062777D">
        <w:rPr>
          <w:rFonts w:asciiTheme="majorBidi" w:hAnsiTheme="majorBidi" w:cstheme="majorBidi"/>
          <w:bCs/>
          <w:sz w:val="22"/>
          <w:szCs w:val="22"/>
        </w:rPr>
        <w:t xml:space="preserve">                                                            </w:t>
      </w: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</w:t>
      </w:r>
      <w:bookmarkStart w:id="0" w:name="_GoBack"/>
      <w:bookmarkEnd w:id="0"/>
      <w:proofErr w:type="gramStart"/>
      <w:r w:rsidRPr="0062777D">
        <w:rPr>
          <w:rFonts w:asciiTheme="majorBidi" w:hAnsiTheme="majorBidi" w:cstheme="majorBidi"/>
          <w:bCs/>
          <w:sz w:val="22"/>
          <w:szCs w:val="22"/>
        </w:rPr>
        <w:t>регистре</w:t>
      </w:r>
      <w:proofErr w:type="gramEnd"/>
      <w:r w:rsidRPr="0062777D">
        <w:rPr>
          <w:rFonts w:asciiTheme="majorBidi" w:hAnsiTheme="majorBidi" w:cstheme="majorBidi"/>
          <w:bCs/>
          <w:sz w:val="22"/>
          <w:szCs w:val="22"/>
        </w:rPr>
        <w:t xml:space="preserve"> выбросов и переноса </w:t>
      </w:r>
    </w:p>
    <w:p w:rsidR="00713FB9" w:rsidRPr="00713FB9" w:rsidRDefault="00713FB9" w:rsidP="00713FB9">
      <w:pPr>
        <w:ind w:left="360"/>
        <w:jc w:val="right"/>
        <w:rPr>
          <w:rFonts w:asciiTheme="majorBidi" w:hAnsiTheme="majorBidi" w:cstheme="majorBidi"/>
          <w:bCs/>
          <w:sz w:val="22"/>
          <w:szCs w:val="22"/>
          <w:lang w:val="ro-RO"/>
        </w:rPr>
      </w:pPr>
      <w:r w:rsidRPr="0062777D">
        <w:rPr>
          <w:rFonts w:asciiTheme="majorBidi" w:hAnsiTheme="majorBidi" w:cstheme="majorBidi"/>
          <w:bCs/>
          <w:sz w:val="22"/>
          <w:szCs w:val="22"/>
        </w:rPr>
        <w:t xml:space="preserve">                                                                   загрязнителей</w:t>
      </w:r>
    </w:p>
    <w:p w:rsidR="00713FB9" w:rsidRPr="007E06BD" w:rsidRDefault="00713FB9" w:rsidP="00713FB9">
      <w:pPr>
        <w:ind w:left="720"/>
        <w:jc w:val="right"/>
        <w:rPr>
          <w:rFonts w:asciiTheme="majorBidi" w:hAnsiTheme="majorBidi" w:cstheme="majorBidi"/>
          <w:sz w:val="22"/>
          <w:szCs w:val="22"/>
        </w:rPr>
      </w:pPr>
    </w:p>
    <w:p w:rsidR="00713FB9" w:rsidRPr="007E06BD" w:rsidRDefault="00713FB9" w:rsidP="00713FB9">
      <w:pPr>
        <w:spacing w:after="200"/>
        <w:jc w:val="right"/>
        <w:rPr>
          <w:rFonts w:asciiTheme="majorBidi" w:hAnsiTheme="majorBidi" w:cstheme="majorBidi"/>
          <w:sz w:val="22"/>
          <w:szCs w:val="22"/>
        </w:rPr>
      </w:pPr>
    </w:p>
    <w:p w:rsidR="00713FB9" w:rsidRPr="007E06BD" w:rsidRDefault="00713FB9" w:rsidP="00713FB9">
      <w:pPr>
        <w:ind w:left="90" w:right="90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7E06BD">
        <w:rPr>
          <w:rFonts w:asciiTheme="majorBidi" w:hAnsiTheme="majorBidi" w:cstheme="majorBidi"/>
          <w:b/>
          <w:bCs/>
          <w:sz w:val="22"/>
          <w:szCs w:val="22"/>
        </w:rPr>
        <w:t>ФОРМАТ</w:t>
      </w:r>
    </w:p>
    <w:p w:rsidR="00713FB9" w:rsidRPr="007E06BD" w:rsidRDefault="00713FB9" w:rsidP="00713FB9">
      <w:pPr>
        <w:spacing w:after="200"/>
        <w:ind w:left="90" w:right="90"/>
        <w:jc w:val="center"/>
        <w:rPr>
          <w:rFonts w:asciiTheme="majorBidi" w:hAnsiTheme="majorBidi" w:cstheme="majorBidi"/>
          <w:sz w:val="22"/>
          <w:szCs w:val="22"/>
        </w:rPr>
      </w:pPr>
      <w:r w:rsidRPr="007E06BD">
        <w:rPr>
          <w:rFonts w:asciiTheme="majorBidi" w:hAnsiTheme="majorBidi" w:cstheme="majorBidi"/>
          <w:b/>
          <w:bCs/>
          <w:sz w:val="22"/>
          <w:szCs w:val="22"/>
        </w:rPr>
        <w:t>для представления данных о выбросах и переносах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7"/>
        <w:gridCol w:w="3903"/>
        <w:gridCol w:w="8"/>
        <w:gridCol w:w="2223"/>
      </w:tblGrid>
      <w:tr w:rsidR="00713FB9" w:rsidRPr="007E06BD" w:rsidTr="007E7EE5">
        <w:trPr>
          <w:trHeight w:val="267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Даннеы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запрашиваемые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оператором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Данные, предоставляемые оператором</w:t>
            </w:r>
          </w:p>
        </w:tc>
      </w:tr>
      <w:tr w:rsidR="00713FB9" w:rsidRPr="007E06BD" w:rsidTr="007E7EE5">
        <w:trPr>
          <w:trHeight w:val="267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firstLine="7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713FB9" w:rsidRPr="007E06BD" w:rsidTr="007E7EE5">
        <w:trPr>
          <w:trHeight w:val="267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firstLine="72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Отчетный  год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3FB9" w:rsidRPr="007E06BD" w:rsidTr="007E7EE5">
        <w:trPr>
          <w:trHeight w:val="272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Идентификация  субъекта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13FB9" w:rsidRPr="007E06BD" w:rsidTr="007E7EE5">
        <w:trPr>
          <w:trHeight w:val="3683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Название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головной компании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Название оператора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Идентификационный номер оператора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Адрес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Город/село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Почтовый индекс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Страна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Координаты размещения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FF6827">
              <w:rPr>
                <w:rFonts w:asciiTheme="majorBidi" w:hAnsiTheme="majorBidi" w:cstheme="majorBidi"/>
                <w:sz w:val="22"/>
                <w:szCs w:val="22"/>
              </w:rPr>
              <w:t>Бассейновый округ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Код КЭДМ (4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-</w:t>
            </w:r>
            <w:proofErr w:type="spellStart"/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значный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Основная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экономическая деятельность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Объем производства (по желанию)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Количество установок (по желанию)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Количество рабочих часов в год (по желанию)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Количество сотрудников (по желанию)</w:t>
            </w:r>
          </w:p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Поле для текстовой информации или адрес веб–сайта,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предоставленного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субъектом или материнской компанией (по желанию)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13FB9" w:rsidRPr="007E06BD" w:rsidTr="007E7EE5">
        <w:trPr>
          <w:trHeight w:val="635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Все виды деятельности субъекта, перечисленные в приложении № 1 (в соответствии с системой кодирования, приведенной в приложении  № 1, </w:t>
            </w:r>
            <w:r w:rsidRPr="007E06BD">
              <w:rPr>
                <w:rFonts w:asciiTheme="majorBidi" w:hAnsiTheme="majorBidi" w:cstheme="majorBidi"/>
                <w:b/>
                <w:color w:val="222222"/>
                <w:sz w:val="22"/>
                <w:szCs w:val="22"/>
                <w:shd w:val="clear" w:color="auto" w:fill="FFFFFF"/>
              </w:rPr>
              <w:t>Директива 2010/75/ЕС Европейского парламента и Совета от 24 ноября 2010 года о промышленных выбросах,</w:t>
            </w:r>
            <w:r w:rsidRPr="007E06BD">
              <w:rPr>
                <w:rFonts w:asciiTheme="majorBidi" w:hAnsiTheme="majorBidi" w:cstheme="majorBid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в зависимости от обстоятельств)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13FB9" w:rsidRPr="007E06BD" w:rsidTr="007E7EE5">
        <w:trPr>
          <w:trHeight w:val="977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Деятельность 1 (основная деятельность согласно приложению № 1)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Деятельность 2</w:t>
            </w:r>
          </w:p>
          <w:p w:rsidR="00713FB9" w:rsidRPr="00FF6827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  <w:lang w:val="ro-RO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Деятельность N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13FB9" w:rsidRPr="007E06BD" w:rsidTr="007E7EE5">
        <w:trPr>
          <w:trHeight w:val="635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Данные о выбросах оператора в воздух для каждого загрязняющего вещества (в соответствии с приложением № 2)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eastAsia="Malgun Gothic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Выбросы в </w:t>
            </w:r>
            <w:r w:rsidRPr="007E06BD">
              <w:rPr>
                <w:rFonts w:asciiTheme="majorBidi" w:eastAsia="Malgun Gothic" w:hAnsiTheme="majorBidi" w:cstheme="majorBidi"/>
                <w:sz w:val="22"/>
                <w:szCs w:val="22"/>
              </w:rPr>
              <w:t>воздух</w:t>
            </w:r>
          </w:p>
        </w:tc>
      </w:tr>
      <w:tr w:rsidR="00713FB9" w:rsidRPr="007E06BD" w:rsidTr="007E7EE5">
        <w:trPr>
          <w:trHeight w:val="995"/>
        </w:trPr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1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2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N</w:t>
            </w: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Т: общие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,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кг/год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A: аварийные,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кг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/ год</w:t>
            </w:r>
          </w:p>
        </w:tc>
      </w:tr>
      <w:tr w:rsidR="00713FB9" w:rsidRPr="007E06BD" w:rsidTr="007E7EE5">
        <w:trPr>
          <w:trHeight w:val="797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Данные о выбросах оператора в воду для каждого загрязнителя (в соответствии с приложением №2)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Выбросы в воду </w:t>
            </w:r>
          </w:p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13FB9" w:rsidRPr="007E06BD" w:rsidTr="007E7EE5">
        <w:trPr>
          <w:trHeight w:val="995"/>
        </w:trPr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1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2</w:t>
            </w:r>
          </w:p>
          <w:p w:rsidR="00713FB9" w:rsidRPr="007E06BD" w:rsidRDefault="00713FB9" w:rsidP="007E7EE5">
            <w:pPr>
              <w:spacing w:after="200"/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N</w:t>
            </w: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spacing w:after="200"/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Т: общие,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кг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/год</w:t>
            </w:r>
          </w:p>
          <w:p w:rsidR="00713FB9" w:rsidRPr="007E06BD" w:rsidRDefault="00713FB9" w:rsidP="007E7EE5">
            <w:pPr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A: аварийные,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кг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/ год</w:t>
            </w:r>
          </w:p>
        </w:tc>
      </w:tr>
      <w:tr w:rsidR="00713FB9" w:rsidRPr="007E06BD" w:rsidTr="007E7EE5">
        <w:trPr>
          <w:trHeight w:val="626"/>
        </w:trPr>
        <w:tc>
          <w:tcPr>
            <w:tcW w:w="71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Данные о выбросах оператора в почву для каждого загрязняющего вещества (в соответствии с приложением № 2)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Выбросы в почву </w:t>
            </w:r>
          </w:p>
        </w:tc>
      </w:tr>
      <w:tr w:rsidR="00713FB9" w:rsidRPr="007E06BD" w:rsidTr="007E7EE5">
        <w:trPr>
          <w:trHeight w:val="1346"/>
        </w:trPr>
        <w:tc>
          <w:tcPr>
            <w:tcW w:w="3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1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2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N</w:t>
            </w:r>
          </w:p>
        </w:tc>
        <w:tc>
          <w:tcPr>
            <w:tcW w:w="3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FF6827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Т: общие,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кг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/год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A: аварийные,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кг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/ год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13FB9" w:rsidRPr="007E06BD" w:rsidTr="007E7EE5">
        <w:trPr>
          <w:trHeight w:val="727"/>
        </w:trPr>
        <w:tc>
          <w:tcPr>
            <w:tcW w:w="7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Перенос за пределы участка каждого загрязнителя, предназначенного для очистки сточных вод (в соответствии с приложением  № 2)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713FB9" w:rsidRPr="007E06BD" w:rsidTr="007E7EE5">
        <w:trPr>
          <w:trHeight w:val="1013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1</w:t>
            </w:r>
          </w:p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2</w:t>
            </w:r>
          </w:p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Загрязнитель N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кг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/ год</w:t>
            </w:r>
          </w:p>
        </w:tc>
      </w:tr>
      <w:tr w:rsidR="00713FB9" w:rsidRPr="007E06BD" w:rsidTr="007E7EE5">
        <w:trPr>
          <w:trHeight w:val="262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Перенос за пределы участка опасных отходов (в соответствии с пунктом 15)</w:t>
            </w:r>
          </w:p>
        </w:tc>
      </w:tr>
      <w:tr w:rsidR="00713FB9" w:rsidRPr="007E06BD" w:rsidTr="007E7EE5">
        <w:trPr>
          <w:trHeight w:val="995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firstLine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u w:val="single"/>
              </w:rPr>
              <w:t>В стране:</w:t>
            </w:r>
          </w:p>
          <w:p w:rsidR="00713FB9" w:rsidRPr="007E06BD" w:rsidRDefault="00713FB9" w:rsidP="007E7EE5">
            <w:pPr>
              <w:ind w:left="90" w:right="90" w:firstLine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Для переработки (R)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left="106" w:right="90" w:firstLine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тонн / год</w:t>
            </w:r>
          </w:p>
        </w:tc>
      </w:tr>
      <w:tr w:rsidR="00713FB9" w:rsidRPr="007E06BD" w:rsidTr="007E7EE5">
        <w:trPr>
          <w:trHeight w:val="995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right="90" w:firstLine="271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u w:val="single"/>
              </w:rPr>
              <w:t>В стране:</w:t>
            </w:r>
          </w:p>
          <w:p w:rsidR="00713FB9" w:rsidRPr="007E06BD" w:rsidRDefault="00713FB9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  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Для удаления (D) 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тонн/ год</w:t>
            </w:r>
          </w:p>
        </w:tc>
      </w:tr>
      <w:tr w:rsidR="00713FB9" w:rsidRPr="007E06BD" w:rsidTr="007E7EE5">
        <w:trPr>
          <w:trHeight w:val="2795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u w:val="single"/>
              </w:rPr>
              <w:t>В других странах: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Для переработки (R)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Название предприятия по переработке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Адрес предприятия по переработке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Адрес фактического места переработки полученных  отходов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right="90" w:firstLine="0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  <w:p w:rsidR="00713FB9" w:rsidRPr="007E06BD" w:rsidRDefault="00713FB9" w:rsidP="007E7EE5">
            <w:pPr>
              <w:spacing w:after="200"/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106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тонн/ год</w:t>
            </w:r>
          </w:p>
        </w:tc>
      </w:tr>
      <w:tr w:rsidR="00713FB9" w:rsidRPr="007E06BD" w:rsidTr="007E7EE5">
        <w:trPr>
          <w:trHeight w:val="2507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u w:val="single"/>
              </w:rPr>
              <w:lastRenderedPageBreak/>
              <w:t>В других странах: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Для удаления (D) 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Название предприятия по удалению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Адрес предприятия по удалению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Адрес фактического места удаления полученных отходов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right="90" w:firstLine="0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  <w:p w:rsidR="00713FB9" w:rsidRPr="007E06BD" w:rsidRDefault="00713FB9" w:rsidP="007E7EE5">
            <w:pPr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106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тонн/ год</w:t>
            </w:r>
          </w:p>
        </w:tc>
      </w:tr>
      <w:tr w:rsidR="00713FB9" w:rsidRPr="007E06BD" w:rsidTr="007E7EE5">
        <w:trPr>
          <w:trHeight w:val="725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Перенос за пределы участка опасных отходов (в соответствии с пунктом 15) </w:t>
            </w:r>
          </w:p>
        </w:tc>
      </w:tr>
      <w:tr w:rsidR="00713FB9" w:rsidRPr="007E06BD" w:rsidTr="007E7EE5">
        <w:trPr>
          <w:trHeight w:val="995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Для переработки (R)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left="90" w:right="90" w:hanging="59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тонн / год</w:t>
            </w:r>
          </w:p>
        </w:tc>
      </w:tr>
      <w:tr w:rsidR="00713FB9" w:rsidRPr="007E06BD" w:rsidTr="007E7EE5">
        <w:trPr>
          <w:trHeight w:val="995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Для удаления (D)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pacing w:val="5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М: измеренный;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используемый аналитический метод </w:t>
            </w:r>
          </w:p>
          <w:p w:rsidR="00713FB9" w:rsidRPr="007E06BD" w:rsidRDefault="00713FB9" w:rsidP="007E7EE5">
            <w:pPr>
              <w:ind w:left="90" w:right="90" w:hanging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C: рассчитанный; используемый м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етод расчета</w:t>
            </w:r>
          </w:p>
          <w:p w:rsidR="00713FB9" w:rsidRPr="007E06BD" w:rsidRDefault="00713FB9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o-RO"/>
              </w:rPr>
              <w:t xml:space="preserve"> 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Е: оценка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тонн / год</w:t>
            </w:r>
          </w:p>
        </w:tc>
      </w:tr>
      <w:tr w:rsidR="00713FB9" w:rsidRPr="007E06BD" w:rsidTr="007E7EE5">
        <w:trPr>
          <w:trHeight w:val="2255"/>
        </w:trPr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Компетентный орган по запросам общественности: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Имя 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Адрес 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Город /село 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Номер телефона </w:t>
            </w:r>
          </w:p>
          <w:p w:rsidR="00713FB9" w:rsidRPr="007E06BD" w:rsidRDefault="00713FB9" w:rsidP="007E7EE5">
            <w:pPr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Факс</w:t>
            </w:r>
          </w:p>
          <w:p w:rsidR="00713FB9" w:rsidRPr="007E06BD" w:rsidRDefault="00713FB9" w:rsidP="007E7EE5">
            <w:pPr>
              <w:spacing w:after="200"/>
              <w:ind w:left="90" w:right="90" w:firstLine="39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Электронная почта </w:t>
            </w:r>
          </w:p>
        </w:tc>
        <w:tc>
          <w:tcPr>
            <w:tcW w:w="3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713FB9" w:rsidRPr="007E06BD" w:rsidRDefault="00713FB9" w:rsidP="007E7EE5">
            <w:pPr>
              <w:spacing w:after="20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 </w:t>
            </w:r>
          </w:p>
        </w:tc>
        <w:tc>
          <w:tcPr>
            <w:tcW w:w="2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3FB9" w:rsidRPr="007E06BD" w:rsidRDefault="00713FB9" w:rsidP="007E7EE5">
            <w:pPr>
              <w:spacing w:after="20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</w:tbl>
    <w:p w:rsidR="00713FB9" w:rsidRDefault="00713FB9"/>
    <w:sectPr w:rsidR="00713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9"/>
    <w:rsid w:val="007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B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B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2018-05-02T07:53:00Z</dcterms:created>
  <dcterms:modified xsi:type="dcterms:W3CDTF">2018-05-02T07:54:00Z</dcterms:modified>
</cp:coreProperties>
</file>